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FDD34" w14:textId="4F088DC7" w:rsidR="00C177BE" w:rsidRPr="00DF5DE9" w:rsidRDefault="00C177BE" w:rsidP="00C177BE">
      <w:pPr>
        <w:jc w:val="center"/>
        <w:rPr>
          <w:b/>
          <w:bCs/>
          <w:sz w:val="24"/>
          <w:szCs w:val="24"/>
        </w:rPr>
      </w:pPr>
      <w:r w:rsidRPr="00DF5DE9">
        <w:rPr>
          <w:b/>
          <w:bCs/>
          <w:sz w:val="24"/>
          <w:szCs w:val="24"/>
        </w:rPr>
        <w:t>Southern Nevada Human Trafficking Task Force</w:t>
      </w:r>
    </w:p>
    <w:p w14:paraId="1633DBFE" w14:textId="08F519F2" w:rsidR="00C177BE" w:rsidRPr="00DF5DE9" w:rsidRDefault="00C177BE" w:rsidP="00C177BE">
      <w:pPr>
        <w:jc w:val="center"/>
        <w:rPr>
          <w:b/>
          <w:bCs/>
          <w:sz w:val="24"/>
          <w:szCs w:val="24"/>
        </w:rPr>
      </w:pPr>
      <w:r w:rsidRPr="00DF5DE9">
        <w:rPr>
          <w:b/>
          <w:bCs/>
          <w:sz w:val="24"/>
          <w:szCs w:val="24"/>
        </w:rPr>
        <w:t>Annual Sex Trafficking Report</w:t>
      </w:r>
    </w:p>
    <w:p w14:paraId="58D5C63E" w14:textId="77777777" w:rsidR="00C177BE" w:rsidRPr="00C177BE" w:rsidRDefault="00C177BE" w:rsidP="00C177BE">
      <w:pPr>
        <w:jc w:val="center"/>
        <w:rPr>
          <w:b/>
          <w:bCs/>
          <w:sz w:val="24"/>
          <w:szCs w:val="24"/>
        </w:rPr>
      </w:pPr>
      <w:r w:rsidRPr="00C177BE">
        <w:rPr>
          <w:b/>
          <w:bCs/>
          <w:sz w:val="24"/>
          <w:szCs w:val="24"/>
        </w:rPr>
        <w:t>January 01, 2020 thru December 31, 2020</w:t>
      </w:r>
    </w:p>
    <w:p w14:paraId="316645E8" w14:textId="0159AD16" w:rsidR="00C177BE" w:rsidRPr="00DF5DE9" w:rsidRDefault="00C177BE" w:rsidP="00C177BE">
      <w:pPr>
        <w:rPr>
          <w:sz w:val="20"/>
          <w:szCs w:val="20"/>
        </w:rPr>
      </w:pPr>
      <w:r w:rsidRPr="00DF5DE9">
        <w:rPr>
          <w:sz w:val="20"/>
          <w:szCs w:val="20"/>
        </w:rPr>
        <w:t>Since 2006 the Southern Nevada Human Trafficking Task Force, which operates out of the Las Vegas Metropolitan Police Department has been working in collaboration with local, state and federal agencies, the faith-based community, victim service providers and non-governmental organizations to expose and reduce human trafficking in Clark County.</w:t>
      </w:r>
    </w:p>
    <w:p w14:paraId="70F0FF92" w14:textId="4EBF1720" w:rsidR="00C177BE" w:rsidRPr="00DF5DE9" w:rsidRDefault="00C177BE" w:rsidP="00C177BE">
      <w:pPr>
        <w:rPr>
          <w:sz w:val="20"/>
          <w:szCs w:val="20"/>
        </w:rPr>
      </w:pPr>
      <w:r w:rsidRPr="00DF5DE9">
        <w:rPr>
          <w:sz w:val="20"/>
          <w:szCs w:val="20"/>
        </w:rPr>
        <w:t>LVMPD is committed to proactively investigate, identify, apprehend and prosecute those engaged in the exploitation of adult women and juveniles into the commercial sex trade. The law enforcement community will continue to send a strong message that harsh penalties await those who choose to engage in this criminal behavior.</w:t>
      </w:r>
    </w:p>
    <w:p w14:paraId="68898271" w14:textId="77777777" w:rsidR="00C177BE" w:rsidRPr="00DF5DE9" w:rsidRDefault="00C177BE" w:rsidP="00C177BE">
      <w:pPr>
        <w:rPr>
          <w:b/>
          <w:bCs/>
          <w:sz w:val="20"/>
          <w:szCs w:val="20"/>
        </w:rPr>
      </w:pPr>
      <w:r w:rsidRPr="00DF5DE9">
        <w:rPr>
          <w:b/>
          <w:bCs/>
          <w:sz w:val="20"/>
          <w:szCs w:val="20"/>
        </w:rPr>
        <w:t>Las Vegas Metropolitan Police Department SEX TRAFFICKING Statistics</w:t>
      </w:r>
    </w:p>
    <w:p w14:paraId="13256F1B" w14:textId="77777777" w:rsidR="00C177BE" w:rsidRPr="00DF5DE9" w:rsidRDefault="00C177BE" w:rsidP="00C177BE">
      <w:pPr>
        <w:pStyle w:val="ListParagraph"/>
        <w:numPr>
          <w:ilvl w:val="0"/>
          <w:numId w:val="2"/>
        </w:numPr>
        <w:rPr>
          <w:i/>
          <w:iCs/>
          <w:sz w:val="20"/>
          <w:szCs w:val="20"/>
        </w:rPr>
      </w:pPr>
      <w:r w:rsidRPr="00DF5DE9">
        <w:rPr>
          <w:i/>
          <w:iCs/>
          <w:sz w:val="20"/>
          <w:szCs w:val="20"/>
        </w:rPr>
        <w:t>The following statistics represent sex trafficking data specifically collected by the LVMPD. These numbers do not reflect reports or investigations conducted independently by other agencies.</w:t>
      </w:r>
    </w:p>
    <w:p w14:paraId="6A7679D3" w14:textId="77777777" w:rsidR="00C177BE" w:rsidRPr="00DF5DE9" w:rsidRDefault="00C177BE" w:rsidP="00C177BE">
      <w:pPr>
        <w:pStyle w:val="ListParagraph"/>
        <w:rPr>
          <w:i/>
          <w:iCs/>
          <w:sz w:val="20"/>
          <w:szCs w:val="20"/>
        </w:rPr>
      </w:pPr>
    </w:p>
    <w:p w14:paraId="123856D0" w14:textId="1E241CED" w:rsidR="00C177BE" w:rsidRPr="00DF5DE9" w:rsidRDefault="00C177BE" w:rsidP="00C177BE">
      <w:pPr>
        <w:pStyle w:val="ListParagraph"/>
        <w:numPr>
          <w:ilvl w:val="0"/>
          <w:numId w:val="2"/>
        </w:numPr>
        <w:rPr>
          <w:i/>
          <w:iCs/>
          <w:sz w:val="20"/>
          <w:szCs w:val="20"/>
        </w:rPr>
      </w:pPr>
      <w:r w:rsidRPr="00DF5DE9">
        <w:rPr>
          <w:sz w:val="20"/>
          <w:szCs w:val="20"/>
        </w:rPr>
        <w:t xml:space="preserve">From January 1, 2020 to December 31, 2020, LVMPD identified 106 minor* (child) sex trafficking victims: </w:t>
      </w:r>
      <w:r w:rsidRPr="00DF5DE9">
        <w:rPr>
          <w:b/>
          <w:bCs/>
          <w:sz w:val="20"/>
          <w:szCs w:val="20"/>
          <w:u w:val="single"/>
        </w:rPr>
        <w:t>103</w:t>
      </w:r>
      <w:r w:rsidRPr="00DF5DE9">
        <w:rPr>
          <w:sz w:val="20"/>
          <w:szCs w:val="20"/>
        </w:rPr>
        <w:t xml:space="preserve"> female victims and </w:t>
      </w:r>
      <w:r w:rsidRPr="00DF5DE9">
        <w:rPr>
          <w:b/>
          <w:bCs/>
          <w:sz w:val="20"/>
          <w:szCs w:val="20"/>
          <w:u w:val="single"/>
        </w:rPr>
        <w:t>3</w:t>
      </w:r>
      <w:r w:rsidRPr="00DF5DE9">
        <w:rPr>
          <w:sz w:val="20"/>
          <w:szCs w:val="20"/>
        </w:rPr>
        <w:t xml:space="preserve"> male victims.</w:t>
      </w:r>
    </w:p>
    <w:p w14:paraId="11A5AE1C" w14:textId="33E1DCF3" w:rsidR="00C177BE" w:rsidRPr="00DF5DE9" w:rsidRDefault="00C177BE" w:rsidP="00C177BE">
      <w:pPr>
        <w:pStyle w:val="ListParagraph"/>
        <w:numPr>
          <w:ilvl w:val="0"/>
          <w:numId w:val="1"/>
        </w:numPr>
        <w:rPr>
          <w:sz w:val="20"/>
          <w:szCs w:val="20"/>
        </w:rPr>
      </w:pPr>
      <w:r w:rsidRPr="00DF5DE9">
        <w:rPr>
          <w:sz w:val="20"/>
          <w:szCs w:val="20"/>
        </w:rPr>
        <w:t xml:space="preserve">4% </w:t>
      </w:r>
      <w:r w:rsidRPr="00DF5DE9">
        <w:rPr>
          <w:sz w:val="20"/>
          <w:szCs w:val="20"/>
        </w:rPr>
        <w:tab/>
      </w:r>
      <w:r w:rsidRPr="00DF5DE9">
        <w:rPr>
          <w:sz w:val="20"/>
          <w:szCs w:val="20"/>
        </w:rPr>
        <w:tab/>
        <w:t>Asian</w:t>
      </w:r>
    </w:p>
    <w:p w14:paraId="3C19F7FE" w14:textId="68A6250A" w:rsidR="00C177BE" w:rsidRPr="00DF5DE9" w:rsidRDefault="00C177BE" w:rsidP="00C177BE">
      <w:pPr>
        <w:pStyle w:val="ListParagraph"/>
        <w:numPr>
          <w:ilvl w:val="0"/>
          <w:numId w:val="1"/>
        </w:numPr>
        <w:rPr>
          <w:sz w:val="20"/>
          <w:szCs w:val="20"/>
        </w:rPr>
      </w:pPr>
      <w:r w:rsidRPr="00DF5DE9">
        <w:rPr>
          <w:sz w:val="20"/>
          <w:szCs w:val="20"/>
        </w:rPr>
        <w:t xml:space="preserve">64% </w:t>
      </w:r>
      <w:r w:rsidRPr="00DF5DE9">
        <w:rPr>
          <w:sz w:val="20"/>
          <w:szCs w:val="20"/>
        </w:rPr>
        <w:tab/>
      </w:r>
      <w:r w:rsidRPr="00DF5DE9">
        <w:rPr>
          <w:sz w:val="20"/>
          <w:szCs w:val="20"/>
        </w:rPr>
        <w:tab/>
        <w:t>Black</w:t>
      </w:r>
    </w:p>
    <w:p w14:paraId="1818D63B" w14:textId="00ED4303" w:rsidR="00C177BE" w:rsidRPr="00DF5DE9" w:rsidRDefault="00C177BE" w:rsidP="00C177BE">
      <w:pPr>
        <w:pStyle w:val="ListParagraph"/>
        <w:numPr>
          <w:ilvl w:val="0"/>
          <w:numId w:val="1"/>
        </w:numPr>
        <w:rPr>
          <w:sz w:val="20"/>
          <w:szCs w:val="20"/>
        </w:rPr>
      </w:pPr>
      <w:r w:rsidRPr="00DF5DE9">
        <w:rPr>
          <w:sz w:val="20"/>
          <w:szCs w:val="20"/>
        </w:rPr>
        <w:t xml:space="preserve">19% </w:t>
      </w:r>
      <w:r w:rsidRPr="00DF5DE9">
        <w:rPr>
          <w:sz w:val="20"/>
          <w:szCs w:val="20"/>
        </w:rPr>
        <w:tab/>
      </w:r>
      <w:r w:rsidRPr="00DF5DE9">
        <w:rPr>
          <w:sz w:val="20"/>
          <w:szCs w:val="20"/>
        </w:rPr>
        <w:tab/>
        <w:t>Hispanic</w:t>
      </w:r>
    </w:p>
    <w:p w14:paraId="00198258" w14:textId="418AD52A" w:rsidR="00C177BE" w:rsidRPr="00DF5DE9" w:rsidRDefault="00C177BE" w:rsidP="00C177BE">
      <w:pPr>
        <w:pStyle w:val="ListParagraph"/>
        <w:numPr>
          <w:ilvl w:val="0"/>
          <w:numId w:val="1"/>
        </w:numPr>
        <w:rPr>
          <w:sz w:val="20"/>
          <w:szCs w:val="20"/>
        </w:rPr>
      </w:pPr>
      <w:r w:rsidRPr="00DF5DE9">
        <w:rPr>
          <w:sz w:val="20"/>
          <w:szCs w:val="20"/>
        </w:rPr>
        <w:t xml:space="preserve">13% </w:t>
      </w:r>
      <w:r w:rsidRPr="00DF5DE9">
        <w:rPr>
          <w:sz w:val="20"/>
          <w:szCs w:val="20"/>
        </w:rPr>
        <w:tab/>
      </w:r>
      <w:r w:rsidRPr="00DF5DE9">
        <w:rPr>
          <w:sz w:val="20"/>
          <w:szCs w:val="20"/>
        </w:rPr>
        <w:tab/>
        <w:t>White</w:t>
      </w:r>
    </w:p>
    <w:p w14:paraId="054434A2" w14:textId="272021BD" w:rsidR="00C177BE" w:rsidRPr="00DF5DE9" w:rsidRDefault="00C177BE" w:rsidP="00C177BE">
      <w:pPr>
        <w:pStyle w:val="ListParagraph"/>
        <w:numPr>
          <w:ilvl w:val="0"/>
          <w:numId w:val="1"/>
        </w:numPr>
        <w:rPr>
          <w:sz w:val="20"/>
          <w:szCs w:val="20"/>
        </w:rPr>
      </w:pPr>
      <w:r w:rsidRPr="00DF5DE9">
        <w:rPr>
          <w:sz w:val="20"/>
          <w:szCs w:val="20"/>
        </w:rPr>
        <w:t xml:space="preserve">0% </w:t>
      </w:r>
      <w:r w:rsidRPr="00DF5DE9">
        <w:rPr>
          <w:sz w:val="20"/>
          <w:szCs w:val="20"/>
        </w:rPr>
        <w:tab/>
      </w:r>
      <w:r w:rsidRPr="00DF5DE9">
        <w:rPr>
          <w:sz w:val="20"/>
          <w:szCs w:val="20"/>
        </w:rPr>
        <w:tab/>
        <w:t>Unknown</w:t>
      </w:r>
    </w:p>
    <w:p w14:paraId="3B81461D" w14:textId="13A77811" w:rsidR="00C177BE" w:rsidRPr="00DF5DE9" w:rsidRDefault="00C177BE" w:rsidP="00C177BE">
      <w:pPr>
        <w:rPr>
          <w:sz w:val="20"/>
          <w:szCs w:val="20"/>
        </w:rPr>
      </w:pPr>
      <w:r w:rsidRPr="00DF5DE9">
        <w:rPr>
          <w:sz w:val="20"/>
          <w:szCs w:val="20"/>
        </w:rPr>
        <w:t>63 Juveniles were reported as prior “Runaways”</w:t>
      </w:r>
    </w:p>
    <w:p w14:paraId="696B9B0D" w14:textId="1CA80A92" w:rsidR="00C177BE" w:rsidRPr="00DF5DE9" w:rsidRDefault="00C177BE" w:rsidP="00C177BE">
      <w:pPr>
        <w:rPr>
          <w:sz w:val="20"/>
          <w:szCs w:val="20"/>
        </w:rPr>
      </w:pPr>
      <w:r w:rsidRPr="00DF5DE9">
        <w:rPr>
          <w:sz w:val="20"/>
          <w:szCs w:val="20"/>
        </w:rPr>
        <w:t xml:space="preserve">5 children were 13 years of age or younger </w:t>
      </w:r>
    </w:p>
    <w:p w14:paraId="60283DBA" w14:textId="73697F91" w:rsidR="00C177BE" w:rsidRPr="00DF5DE9" w:rsidRDefault="00C177BE" w:rsidP="00C177BE">
      <w:pPr>
        <w:rPr>
          <w:sz w:val="20"/>
          <w:szCs w:val="20"/>
        </w:rPr>
      </w:pPr>
      <w:r w:rsidRPr="00DF5DE9">
        <w:rPr>
          <w:sz w:val="20"/>
          <w:szCs w:val="20"/>
        </w:rPr>
        <w:t xml:space="preserve">101 children were between the ages of 14 and 17 years </w:t>
      </w:r>
    </w:p>
    <w:p w14:paraId="493F2972" w14:textId="77777777" w:rsidR="00DF5DE9" w:rsidRDefault="00C177BE" w:rsidP="00DF5DE9">
      <w:pPr>
        <w:rPr>
          <w:sz w:val="20"/>
          <w:szCs w:val="20"/>
        </w:rPr>
      </w:pPr>
      <w:r w:rsidRPr="00DF5DE9">
        <w:rPr>
          <w:sz w:val="20"/>
          <w:szCs w:val="20"/>
        </w:rPr>
        <w:t>75 were local children from the Las Vegas area</w:t>
      </w:r>
    </w:p>
    <w:p w14:paraId="722D65F6" w14:textId="429DB6AF" w:rsidR="00C177BE" w:rsidRPr="00DF5DE9" w:rsidRDefault="00C177BE" w:rsidP="00C177BE">
      <w:pPr>
        <w:rPr>
          <w:sz w:val="20"/>
          <w:szCs w:val="20"/>
        </w:rPr>
      </w:pPr>
      <w:r w:rsidRPr="00DF5DE9">
        <w:rPr>
          <w:i/>
          <w:iCs/>
          <w:sz w:val="20"/>
          <w:szCs w:val="20"/>
        </w:rPr>
        <w:t>Between January and the end of December 2020, on average, 9 children a month were</w:t>
      </w:r>
      <w:r w:rsidR="00DF5DE9">
        <w:rPr>
          <w:sz w:val="20"/>
          <w:szCs w:val="20"/>
        </w:rPr>
        <w:t xml:space="preserve"> </w:t>
      </w:r>
      <w:r w:rsidRPr="00DF5DE9">
        <w:rPr>
          <w:i/>
          <w:iCs/>
          <w:sz w:val="20"/>
          <w:szCs w:val="20"/>
        </w:rPr>
        <w:t>identified as victims of sex trafficking.</w:t>
      </w:r>
    </w:p>
    <w:p w14:paraId="1C34DEF4" w14:textId="4A15D480" w:rsidR="00C177BE" w:rsidRPr="00DF5DE9" w:rsidRDefault="00C177BE" w:rsidP="00C177BE">
      <w:pPr>
        <w:pStyle w:val="ListParagraph"/>
        <w:numPr>
          <w:ilvl w:val="0"/>
          <w:numId w:val="3"/>
        </w:numPr>
        <w:rPr>
          <w:sz w:val="20"/>
          <w:szCs w:val="20"/>
        </w:rPr>
      </w:pPr>
      <w:r w:rsidRPr="00DF5DE9">
        <w:rPr>
          <w:sz w:val="20"/>
          <w:szCs w:val="20"/>
        </w:rPr>
        <w:t>In 2020, LVMPD investigated 12</w:t>
      </w:r>
      <w:r w:rsidR="00B116EB">
        <w:rPr>
          <w:sz w:val="20"/>
          <w:szCs w:val="20"/>
        </w:rPr>
        <w:t>8</w:t>
      </w:r>
      <w:r w:rsidRPr="00DF5DE9">
        <w:rPr>
          <w:sz w:val="20"/>
          <w:szCs w:val="20"/>
        </w:rPr>
        <w:t xml:space="preserve"> adult victims of sex trafficking**</w:t>
      </w:r>
      <w:r w:rsidR="00DF5DE9" w:rsidRPr="00DF5DE9">
        <w:rPr>
          <w:sz w:val="20"/>
          <w:szCs w:val="20"/>
        </w:rPr>
        <w:t xml:space="preserve"> </w:t>
      </w:r>
      <w:r w:rsidR="00B116EB" w:rsidRPr="00B116EB">
        <w:rPr>
          <w:b/>
          <w:bCs/>
          <w:sz w:val="20"/>
          <w:szCs w:val="20"/>
          <w:u w:val="single"/>
        </w:rPr>
        <w:t>12</w:t>
      </w:r>
      <w:r w:rsidR="00B116EB">
        <w:rPr>
          <w:b/>
          <w:bCs/>
          <w:sz w:val="20"/>
          <w:szCs w:val="20"/>
          <w:u w:val="single"/>
        </w:rPr>
        <w:t>6</w:t>
      </w:r>
      <w:r w:rsidRPr="00DF5DE9">
        <w:rPr>
          <w:sz w:val="20"/>
          <w:szCs w:val="20"/>
        </w:rPr>
        <w:t xml:space="preserve"> female victims</w:t>
      </w:r>
      <w:r w:rsidR="00DF5DE9" w:rsidRPr="00DF5DE9">
        <w:rPr>
          <w:sz w:val="20"/>
          <w:szCs w:val="20"/>
        </w:rPr>
        <w:t xml:space="preserve"> and </w:t>
      </w:r>
      <w:r w:rsidR="00B116EB" w:rsidRPr="00B116EB">
        <w:rPr>
          <w:b/>
          <w:bCs/>
          <w:sz w:val="20"/>
          <w:szCs w:val="20"/>
          <w:u w:val="single"/>
        </w:rPr>
        <w:t>2</w:t>
      </w:r>
      <w:r w:rsidR="00DF5DE9" w:rsidRPr="00DF5DE9">
        <w:rPr>
          <w:sz w:val="20"/>
          <w:szCs w:val="20"/>
        </w:rPr>
        <w:t xml:space="preserve"> male victims</w:t>
      </w:r>
    </w:p>
    <w:p w14:paraId="028F3039" w14:textId="252484AE" w:rsidR="00DF5DE9" w:rsidRPr="00DF5DE9" w:rsidRDefault="00C177BE" w:rsidP="00C177BE">
      <w:pPr>
        <w:pStyle w:val="ListParagraph"/>
        <w:numPr>
          <w:ilvl w:val="0"/>
          <w:numId w:val="4"/>
        </w:numPr>
        <w:rPr>
          <w:sz w:val="20"/>
          <w:szCs w:val="20"/>
        </w:rPr>
      </w:pPr>
      <w:r w:rsidRPr="00DF5DE9">
        <w:rPr>
          <w:sz w:val="20"/>
          <w:szCs w:val="20"/>
        </w:rPr>
        <w:t xml:space="preserve">5% </w:t>
      </w:r>
      <w:r w:rsidR="00DF5DE9">
        <w:rPr>
          <w:sz w:val="20"/>
          <w:szCs w:val="20"/>
        </w:rPr>
        <w:tab/>
      </w:r>
      <w:r w:rsidR="00DF5DE9">
        <w:rPr>
          <w:sz w:val="20"/>
          <w:szCs w:val="20"/>
        </w:rPr>
        <w:tab/>
      </w:r>
      <w:r w:rsidRPr="00DF5DE9">
        <w:rPr>
          <w:sz w:val="20"/>
          <w:szCs w:val="20"/>
        </w:rPr>
        <w:t>Asian</w:t>
      </w:r>
    </w:p>
    <w:p w14:paraId="09795214" w14:textId="5A020715" w:rsidR="00DF5DE9" w:rsidRPr="00DF5DE9" w:rsidRDefault="00C177BE" w:rsidP="00C177BE">
      <w:pPr>
        <w:pStyle w:val="ListParagraph"/>
        <w:numPr>
          <w:ilvl w:val="0"/>
          <w:numId w:val="4"/>
        </w:numPr>
        <w:rPr>
          <w:sz w:val="20"/>
          <w:szCs w:val="20"/>
        </w:rPr>
      </w:pPr>
      <w:r w:rsidRPr="00DF5DE9">
        <w:rPr>
          <w:sz w:val="20"/>
          <w:szCs w:val="20"/>
        </w:rPr>
        <w:t xml:space="preserve">47% </w:t>
      </w:r>
      <w:r w:rsidR="00DF5DE9">
        <w:rPr>
          <w:sz w:val="20"/>
          <w:szCs w:val="20"/>
        </w:rPr>
        <w:tab/>
      </w:r>
      <w:r w:rsidR="00DF5DE9">
        <w:rPr>
          <w:sz w:val="20"/>
          <w:szCs w:val="20"/>
        </w:rPr>
        <w:tab/>
      </w:r>
      <w:r w:rsidRPr="00DF5DE9">
        <w:rPr>
          <w:sz w:val="20"/>
          <w:szCs w:val="20"/>
        </w:rPr>
        <w:t>Black</w:t>
      </w:r>
    </w:p>
    <w:p w14:paraId="18DBD2E3" w14:textId="4F017FCC" w:rsidR="00DF5DE9" w:rsidRPr="00DF5DE9" w:rsidRDefault="00C177BE" w:rsidP="00C177BE">
      <w:pPr>
        <w:pStyle w:val="ListParagraph"/>
        <w:numPr>
          <w:ilvl w:val="0"/>
          <w:numId w:val="4"/>
        </w:numPr>
        <w:rPr>
          <w:sz w:val="20"/>
          <w:szCs w:val="20"/>
        </w:rPr>
      </w:pPr>
      <w:r w:rsidRPr="00DF5DE9">
        <w:rPr>
          <w:sz w:val="20"/>
          <w:szCs w:val="20"/>
        </w:rPr>
        <w:t xml:space="preserve">12% </w:t>
      </w:r>
      <w:r w:rsidR="00112B88">
        <w:rPr>
          <w:sz w:val="20"/>
          <w:szCs w:val="20"/>
        </w:rPr>
        <w:tab/>
      </w:r>
      <w:r w:rsidR="00112B88">
        <w:rPr>
          <w:sz w:val="20"/>
          <w:szCs w:val="20"/>
        </w:rPr>
        <w:tab/>
      </w:r>
      <w:r w:rsidRPr="00DF5DE9">
        <w:rPr>
          <w:sz w:val="20"/>
          <w:szCs w:val="20"/>
        </w:rPr>
        <w:t>Hispanic</w:t>
      </w:r>
    </w:p>
    <w:p w14:paraId="0D3AA609" w14:textId="4FF6CFE1" w:rsidR="00DF5DE9" w:rsidRPr="00DF5DE9" w:rsidRDefault="00C177BE" w:rsidP="00C177BE">
      <w:pPr>
        <w:pStyle w:val="ListParagraph"/>
        <w:numPr>
          <w:ilvl w:val="0"/>
          <w:numId w:val="4"/>
        </w:numPr>
        <w:rPr>
          <w:sz w:val="20"/>
          <w:szCs w:val="20"/>
        </w:rPr>
      </w:pPr>
      <w:r w:rsidRPr="00DF5DE9">
        <w:rPr>
          <w:sz w:val="20"/>
          <w:szCs w:val="20"/>
        </w:rPr>
        <w:t xml:space="preserve">24% </w:t>
      </w:r>
      <w:r w:rsidR="00112B88">
        <w:rPr>
          <w:sz w:val="20"/>
          <w:szCs w:val="20"/>
        </w:rPr>
        <w:tab/>
      </w:r>
      <w:r w:rsidR="00112B88">
        <w:rPr>
          <w:sz w:val="20"/>
          <w:szCs w:val="20"/>
        </w:rPr>
        <w:tab/>
      </w:r>
      <w:r w:rsidRPr="00DF5DE9">
        <w:rPr>
          <w:sz w:val="20"/>
          <w:szCs w:val="20"/>
        </w:rPr>
        <w:t>Caucasian</w:t>
      </w:r>
    </w:p>
    <w:p w14:paraId="2DCD8371" w14:textId="56BBE197" w:rsidR="00DF5DE9" w:rsidRPr="00DF5DE9" w:rsidRDefault="00C177BE" w:rsidP="00DF5DE9">
      <w:pPr>
        <w:pStyle w:val="ListParagraph"/>
        <w:numPr>
          <w:ilvl w:val="0"/>
          <w:numId w:val="4"/>
        </w:numPr>
        <w:rPr>
          <w:sz w:val="20"/>
          <w:szCs w:val="20"/>
        </w:rPr>
      </w:pPr>
      <w:r w:rsidRPr="00DF5DE9">
        <w:rPr>
          <w:sz w:val="20"/>
          <w:szCs w:val="20"/>
        </w:rPr>
        <w:t xml:space="preserve">12% </w:t>
      </w:r>
      <w:r w:rsidR="00112B88">
        <w:rPr>
          <w:sz w:val="20"/>
          <w:szCs w:val="20"/>
        </w:rPr>
        <w:tab/>
      </w:r>
      <w:r w:rsidR="00112B88">
        <w:rPr>
          <w:sz w:val="20"/>
          <w:szCs w:val="20"/>
        </w:rPr>
        <w:tab/>
      </w:r>
      <w:r w:rsidRPr="00DF5DE9">
        <w:rPr>
          <w:sz w:val="20"/>
          <w:szCs w:val="20"/>
        </w:rPr>
        <w:t>Unknown</w:t>
      </w:r>
    </w:p>
    <w:p w14:paraId="3F8CA8EE" w14:textId="39BF14C5" w:rsidR="00DF5DE9" w:rsidRPr="00DF5DE9" w:rsidRDefault="00DF5DE9" w:rsidP="00C177BE">
      <w:pPr>
        <w:rPr>
          <w:sz w:val="20"/>
          <w:szCs w:val="20"/>
        </w:rPr>
      </w:pPr>
      <w:r w:rsidRPr="00DF5DE9">
        <w:rPr>
          <w:sz w:val="20"/>
          <w:szCs w:val="20"/>
        </w:rPr>
        <w:t>47% of the victims were between the ages of 18 and 24</w:t>
      </w:r>
    </w:p>
    <w:p w14:paraId="56516E55" w14:textId="77777777" w:rsidR="00C177BE" w:rsidRDefault="00C177BE" w:rsidP="00C177BE">
      <w:r>
        <w:t>________________________________________________________</w:t>
      </w:r>
    </w:p>
    <w:p w14:paraId="1CB54114" w14:textId="77777777" w:rsidR="00DF5DE9" w:rsidRPr="00112B88" w:rsidRDefault="00C177BE" w:rsidP="00C177BE">
      <w:pPr>
        <w:rPr>
          <w:b/>
          <w:bCs/>
          <w:sz w:val="18"/>
          <w:szCs w:val="18"/>
        </w:rPr>
      </w:pPr>
      <w:r w:rsidRPr="00112B88">
        <w:rPr>
          <w:b/>
          <w:bCs/>
          <w:sz w:val="18"/>
          <w:szCs w:val="18"/>
        </w:rPr>
        <w:t>*Federal law defines “minor” as those individuals under the age of 18.</w:t>
      </w:r>
    </w:p>
    <w:p w14:paraId="61E59C41" w14:textId="37A6FFEF" w:rsidR="008A6C3C" w:rsidRPr="00112B88" w:rsidRDefault="00DF5DE9" w:rsidP="00C177BE">
      <w:pPr>
        <w:rPr>
          <w:b/>
          <w:bCs/>
          <w:sz w:val="18"/>
          <w:szCs w:val="18"/>
        </w:rPr>
      </w:pPr>
      <w:r w:rsidRPr="00112B88">
        <w:rPr>
          <w:b/>
          <w:bCs/>
          <w:sz w:val="18"/>
          <w:szCs w:val="18"/>
        </w:rPr>
        <w:t>**Federal law recognizes an “adult” victim of sex trafficking when elements of force, fraud or coercion exist. However, these elements are not necessary when dealing with minors.</w:t>
      </w:r>
    </w:p>
    <w:sectPr w:rsidR="008A6C3C" w:rsidRPr="00112B88" w:rsidSect="00DF5DE9">
      <w:footerReference w:type="default" r:id="rId7"/>
      <w:pgSz w:w="12240" w:h="15840"/>
      <w:pgMar w:top="1440" w:right="1080" w:bottom="1440" w:left="1080" w:header="720" w:footer="720" w:gutter="0"/>
      <w:pgBorders w:offsetFrom="page">
        <w:top w:val="single" w:sz="36" w:space="24" w:color="002060"/>
        <w:left w:val="single" w:sz="36" w:space="24" w:color="002060"/>
        <w:bottom w:val="single" w:sz="36" w:space="24" w:color="002060"/>
        <w:right w:val="single" w:sz="36"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2F5A1" w14:textId="77777777" w:rsidR="00A129B9" w:rsidRDefault="00A129B9" w:rsidP="00DF5DE9">
      <w:pPr>
        <w:spacing w:after="0" w:line="240" w:lineRule="auto"/>
      </w:pPr>
      <w:r>
        <w:separator/>
      </w:r>
    </w:p>
  </w:endnote>
  <w:endnote w:type="continuationSeparator" w:id="0">
    <w:p w14:paraId="24E750B9" w14:textId="77777777" w:rsidR="00A129B9" w:rsidRDefault="00A129B9" w:rsidP="00DF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10FA0" w14:textId="6444CFF4" w:rsidR="00DF5DE9" w:rsidRDefault="00DF5DE9" w:rsidP="00DF5DE9">
    <w:pPr>
      <w:pStyle w:val="Footer"/>
      <w:jc w:val="right"/>
    </w:pPr>
    <w:r>
      <w:rPr>
        <w:noProof/>
      </w:rPr>
      <w:drawing>
        <wp:inline distT="0" distB="0" distL="0" distR="0" wp14:anchorId="2309F7F4" wp14:editId="0648DF63">
          <wp:extent cx="1276350" cy="510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105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FC5A9" w14:textId="77777777" w:rsidR="00A129B9" w:rsidRDefault="00A129B9" w:rsidP="00DF5DE9">
      <w:pPr>
        <w:spacing w:after="0" w:line="240" w:lineRule="auto"/>
      </w:pPr>
      <w:r>
        <w:separator/>
      </w:r>
    </w:p>
  </w:footnote>
  <w:footnote w:type="continuationSeparator" w:id="0">
    <w:p w14:paraId="2DF02971" w14:textId="77777777" w:rsidR="00A129B9" w:rsidRDefault="00A129B9" w:rsidP="00DF5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E295C"/>
    <w:multiLevelType w:val="hybridMultilevel"/>
    <w:tmpl w:val="B3F2CF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664EF"/>
    <w:multiLevelType w:val="hybridMultilevel"/>
    <w:tmpl w:val="D5DCE0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662E6"/>
    <w:multiLevelType w:val="hybridMultilevel"/>
    <w:tmpl w:val="C4A0D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17D78"/>
    <w:multiLevelType w:val="hybridMultilevel"/>
    <w:tmpl w:val="90E4F0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BE"/>
    <w:rsid w:val="00061510"/>
    <w:rsid w:val="00112B88"/>
    <w:rsid w:val="001C7AF4"/>
    <w:rsid w:val="00420D2D"/>
    <w:rsid w:val="005862E4"/>
    <w:rsid w:val="008A6C3C"/>
    <w:rsid w:val="00A129B9"/>
    <w:rsid w:val="00A21E0E"/>
    <w:rsid w:val="00B116EB"/>
    <w:rsid w:val="00BF34E4"/>
    <w:rsid w:val="00C177BE"/>
    <w:rsid w:val="00DF5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8A738"/>
  <w15:chartTrackingRefBased/>
  <w15:docId w15:val="{B73687BC-0600-483F-9E79-01911C18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7BE"/>
    <w:pPr>
      <w:ind w:left="720"/>
      <w:contextualSpacing/>
    </w:pPr>
  </w:style>
  <w:style w:type="paragraph" w:styleId="Header">
    <w:name w:val="header"/>
    <w:basedOn w:val="Normal"/>
    <w:link w:val="HeaderChar"/>
    <w:uiPriority w:val="99"/>
    <w:unhideWhenUsed/>
    <w:rsid w:val="00DF5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DE9"/>
  </w:style>
  <w:style w:type="paragraph" w:styleId="Footer">
    <w:name w:val="footer"/>
    <w:basedOn w:val="Normal"/>
    <w:link w:val="FooterChar"/>
    <w:uiPriority w:val="99"/>
    <w:unhideWhenUsed/>
    <w:rsid w:val="00DF5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Elynne Greene</dc:creator>
  <cp:keywords/>
  <dc:description/>
  <cp:lastModifiedBy>Michael Turner</cp:lastModifiedBy>
  <cp:revision>2</cp:revision>
  <cp:lastPrinted>2021-01-11T21:59:00Z</cp:lastPrinted>
  <dcterms:created xsi:type="dcterms:W3CDTF">2021-01-12T19:12:00Z</dcterms:created>
  <dcterms:modified xsi:type="dcterms:W3CDTF">2021-01-12T19:12:00Z</dcterms:modified>
</cp:coreProperties>
</file>